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B4BD1">
      <w:pPr>
        <w:spacing w:line="336" w:lineRule="auto"/>
        <w:jc w:val="left"/>
        <w:rPr>
          <w:rFonts w:hint="eastAsia" w:eastAsia="仿宋"/>
          <w:b/>
          <w:kern w:val="0"/>
          <w:sz w:val="28"/>
          <w:lang w:eastAsia="zh-CN"/>
        </w:rPr>
      </w:pPr>
      <w:r>
        <w:rPr>
          <w:rFonts w:eastAsia="仿宋"/>
          <w:b/>
          <w:kern w:val="0"/>
          <w:sz w:val="28"/>
        </w:rPr>
        <w:t>附件</w:t>
      </w:r>
      <w:r>
        <w:rPr>
          <w:rFonts w:hint="default" w:ascii="Times New Roman" w:hAnsi="Times New Roman" w:eastAsia="仿宋" w:cs="Times New Roman"/>
          <w:b/>
          <w:kern w:val="0"/>
          <w:sz w:val="28"/>
          <w:lang w:val="en-US" w:eastAsia="zh-CN"/>
        </w:rPr>
        <w:t>2</w:t>
      </w:r>
    </w:p>
    <w:p w14:paraId="7D28B45B">
      <w:pPr>
        <w:spacing w:after="156" w:afterLines="50" w:line="560" w:lineRule="exact"/>
        <w:jc w:val="center"/>
        <w:rPr>
          <w:rFonts w:eastAsia="方正小标宋简体"/>
          <w:b/>
          <w:sz w:val="44"/>
          <w:szCs w:val="44"/>
        </w:rPr>
      </w:pPr>
    </w:p>
    <w:p w14:paraId="0D186CFC">
      <w:pPr>
        <w:spacing w:after="156" w:afterLines="50" w:line="560" w:lineRule="exact"/>
        <w:jc w:val="center"/>
        <w:rPr>
          <w:rFonts w:eastAsia="方正小标宋简体"/>
          <w:b/>
          <w:sz w:val="44"/>
          <w:szCs w:val="44"/>
        </w:rPr>
      </w:pPr>
    </w:p>
    <w:p w14:paraId="172A7E6A">
      <w:pPr>
        <w:spacing w:after="156" w:afterLines="50" w:line="560" w:lineRule="exact"/>
        <w:jc w:val="center"/>
        <w:rPr>
          <w:rFonts w:eastAsia="方正小标宋简体"/>
          <w:b/>
          <w:sz w:val="52"/>
          <w:szCs w:val="52"/>
        </w:rPr>
      </w:pPr>
    </w:p>
    <w:p w14:paraId="16D02D67">
      <w:pPr>
        <w:spacing w:after="156" w:afterLines="50" w:line="560" w:lineRule="exact"/>
        <w:jc w:val="center"/>
        <w:rPr>
          <w:rFonts w:eastAsia="方正小标宋简体"/>
          <w:b/>
          <w:sz w:val="52"/>
          <w:szCs w:val="52"/>
        </w:rPr>
      </w:pPr>
      <w:r>
        <w:rPr>
          <w:rFonts w:hint="eastAsia" w:eastAsia="方正小标宋简体"/>
          <w:b/>
          <w:sz w:val="52"/>
          <w:szCs w:val="52"/>
        </w:rPr>
        <w:t>学位授</w:t>
      </w:r>
      <w:r>
        <w:rPr>
          <w:rFonts w:hint="eastAsia" w:eastAsia="方正小标宋简体"/>
          <w:b/>
          <w:sz w:val="52"/>
          <w:szCs w:val="52"/>
          <w:lang w:val="en-US" w:eastAsia="zh-CN"/>
        </w:rPr>
        <w:t>予</w:t>
      </w:r>
      <w:r>
        <w:rPr>
          <w:rFonts w:hint="eastAsia" w:eastAsia="方正小标宋简体"/>
          <w:b/>
          <w:sz w:val="52"/>
          <w:szCs w:val="52"/>
        </w:rPr>
        <w:t>点建设年度报告</w:t>
      </w:r>
    </w:p>
    <w:p w14:paraId="65DA6FDD">
      <w:pPr>
        <w:spacing w:after="156" w:afterLines="50" w:line="560" w:lineRule="exact"/>
        <w:jc w:val="center"/>
        <w:rPr>
          <w:rFonts w:eastAsia="方正小标宋简体"/>
          <w:b/>
          <w:sz w:val="52"/>
          <w:szCs w:val="52"/>
        </w:rPr>
      </w:pPr>
      <w:r>
        <w:rPr>
          <w:rFonts w:hint="eastAsia" w:eastAsia="方正小标宋简体"/>
          <w:b/>
          <w:sz w:val="52"/>
          <w:szCs w:val="52"/>
        </w:rPr>
        <w:t>（</w:t>
      </w:r>
      <w:r>
        <w:rPr>
          <w:rFonts w:hint="default" w:ascii="Times New Roman" w:hAnsi="Times New Roman" w:eastAsia="楷体_GB2312" w:cs="Times New Roman"/>
          <w:b/>
          <w:sz w:val="52"/>
          <w:szCs w:val="52"/>
        </w:rPr>
        <w:t>202</w:t>
      </w:r>
      <w:r>
        <w:rPr>
          <w:rFonts w:hint="default" w:ascii="Times New Roman" w:hAnsi="Times New Roman" w:eastAsia="楷体_GB2312" w:cs="Times New Roman"/>
          <w:b/>
          <w:sz w:val="52"/>
          <w:szCs w:val="52"/>
          <w:lang w:val="en-US" w:eastAsia="zh-CN"/>
        </w:rPr>
        <w:t>5</w:t>
      </w:r>
      <w:r>
        <w:rPr>
          <w:rFonts w:hint="eastAsia" w:eastAsia="楷体_GB2312"/>
          <w:b/>
          <w:sz w:val="52"/>
          <w:szCs w:val="52"/>
        </w:rPr>
        <w:t>年</w:t>
      </w:r>
      <w:r>
        <w:rPr>
          <w:rFonts w:hint="eastAsia" w:eastAsia="方正小标宋简体"/>
          <w:b/>
          <w:sz w:val="52"/>
          <w:szCs w:val="52"/>
        </w:rPr>
        <w:t>）</w:t>
      </w:r>
    </w:p>
    <w:p w14:paraId="235650F7">
      <w:pPr>
        <w:spacing w:after="156" w:afterLines="50" w:line="560" w:lineRule="exact"/>
        <w:rPr>
          <w:rFonts w:eastAsia="方正小标宋简体"/>
          <w:b/>
          <w:sz w:val="44"/>
          <w:szCs w:val="44"/>
        </w:rPr>
      </w:pPr>
    </w:p>
    <w:p w14:paraId="068F4805">
      <w:pPr>
        <w:spacing w:after="156" w:afterLines="50" w:line="560" w:lineRule="exact"/>
        <w:jc w:val="center"/>
        <w:rPr>
          <w:rFonts w:eastAsia="方正小标宋简体"/>
          <w:b/>
          <w:sz w:val="44"/>
          <w:szCs w:val="44"/>
        </w:rPr>
      </w:pPr>
    </w:p>
    <w:tbl>
      <w:tblPr>
        <w:tblStyle w:val="7"/>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7B472A4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14:paraId="4F35BB50">
            <w:pPr>
              <w:pStyle w:val="15"/>
            </w:pPr>
            <w:r>
              <w:t>学位授予单位</w:t>
            </w:r>
          </w:p>
        </w:tc>
        <w:tc>
          <w:tcPr>
            <w:tcW w:w="2880" w:type="dxa"/>
            <w:tcBorders>
              <w:bottom w:val="single" w:color="auto" w:sz="4" w:space="0"/>
            </w:tcBorders>
            <w:noWrap w:val="0"/>
            <w:vAlign w:val="center"/>
          </w:tcPr>
          <w:p w14:paraId="0CA285D0">
            <w:pPr>
              <w:rPr>
                <w:rFonts w:hint="eastAsia" w:eastAsia="楷体_GB2312"/>
                <w:b/>
                <w:sz w:val="30"/>
                <w:szCs w:val="30"/>
                <w:lang w:eastAsia="zh-CN"/>
              </w:rPr>
            </w:pPr>
            <w:r>
              <w:rPr>
                <w:rFonts w:hint="eastAsia" w:eastAsia="楷体_GB2312"/>
                <w:b/>
                <w:sz w:val="30"/>
                <w:szCs w:val="30"/>
              </w:rPr>
              <w:t>名称：</w:t>
            </w:r>
            <w:r>
              <w:rPr>
                <w:rFonts w:hint="eastAsia" w:eastAsia="楷体_GB2312"/>
                <w:b/>
                <w:sz w:val="30"/>
                <w:szCs w:val="30"/>
                <w:lang w:val="en-US" w:eastAsia="zh-CN"/>
              </w:rPr>
              <w:t>三亚</w:t>
            </w:r>
            <w:r>
              <w:rPr>
                <w:rFonts w:hint="eastAsia" w:eastAsia="楷体_GB2312"/>
                <w:b/>
                <w:sz w:val="30"/>
                <w:szCs w:val="30"/>
                <w:lang w:eastAsia="zh-CN"/>
              </w:rPr>
              <w:t>学院</w:t>
            </w:r>
          </w:p>
        </w:tc>
      </w:tr>
      <w:tr w14:paraId="4A5F726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14:paraId="6CC6C934">
            <w:pPr>
              <w:ind w:firstLine="602"/>
              <w:jc w:val="center"/>
              <w:rPr>
                <w:rFonts w:eastAsia="楷体_GB2312"/>
                <w:b/>
                <w:sz w:val="30"/>
                <w:szCs w:val="30"/>
              </w:rPr>
            </w:pPr>
          </w:p>
        </w:tc>
        <w:tc>
          <w:tcPr>
            <w:tcW w:w="2880" w:type="dxa"/>
            <w:tcBorders>
              <w:top w:val="single" w:color="auto" w:sz="4" w:space="0"/>
            </w:tcBorders>
            <w:noWrap w:val="0"/>
            <w:vAlign w:val="center"/>
          </w:tcPr>
          <w:p w14:paraId="1182FC07">
            <w:pPr>
              <w:rPr>
                <w:rFonts w:hint="default" w:eastAsia="楷体_GB2312"/>
                <w:b/>
                <w:sz w:val="30"/>
                <w:szCs w:val="30"/>
                <w:lang w:val="en-US" w:eastAsia="zh-CN"/>
              </w:rPr>
            </w:pPr>
            <w:r>
              <w:rPr>
                <w:rFonts w:hint="eastAsia" w:eastAsia="楷体_GB2312"/>
                <w:b/>
                <w:sz w:val="30"/>
                <w:szCs w:val="30"/>
              </w:rPr>
              <w:t xml:space="preserve">代码： </w:t>
            </w:r>
            <w:r>
              <w:rPr>
                <w:rFonts w:hint="default" w:ascii="Times New Roman" w:hAnsi="Times New Roman" w:eastAsia="楷体_GB2312" w:cs="Times New Roman"/>
                <w:b/>
                <w:sz w:val="30"/>
                <w:szCs w:val="30"/>
                <w:lang w:eastAsia="zh-CN"/>
              </w:rPr>
              <w:t>1</w:t>
            </w:r>
            <w:r>
              <w:rPr>
                <w:rFonts w:hint="default" w:ascii="Times New Roman" w:hAnsi="Times New Roman" w:eastAsia="楷体_GB2312" w:cs="Times New Roman"/>
                <w:b/>
                <w:sz w:val="30"/>
                <w:szCs w:val="30"/>
                <w:lang w:val="en-US" w:eastAsia="zh-CN"/>
              </w:rPr>
              <w:t>3892</w:t>
            </w:r>
          </w:p>
        </w:tc>
      </w:tr>
    </w:tbl>
    <w:p w14:paraId="16FDBF44">
      <w:pPr>
        <w:spacing w:line="720" w:lineRule="auto"/>
        <w:jc w:val="center"/>
        <w:rPr>
          <w:rFonts w:eastAsia="楷体_GB2312"/>
          <w:b/>
          <w:sz w:val="30"/>
          <w:szCs w:val="30"/>
        </w:rPr>
      </w:pPr>
    </w:p>
    <w:tbl>
      <w:tblPr>
        <w:tblStyle w:val="7"/>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208"/>
        <w:gridCol w:w="2832"/>
      </w:tblGrid>
      <w:tr w14:paraId="523619A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08" w:type="dxa"/>
            <w:vMerge w:val="restart"/>
            <w:tcBorders>
              <w:top w:val="nil"/>
              <w:left w:val="nil"/>
              <w:bottom w:val="nil"/>
              <w:right w:val="single" w:color="auto" w:sz="4" w:space="0"/>
            </w:tcBorders>
            <w:shd w:val="clear" w:color="auto" w:fill="auto"/>
            <w:noWrap w:val="0"/>
            <w:vAlign w:val="center"/>
          </w:tcPr>
          <w:p w14:paraId="1E507934">
            <w:pPr>
              <w:jc w:val="distribute"/>
              <w:rPr>
                <w:rFonts w:eastAsia="楷体_GB2312"/>
                <w:b/>
                <w:sz w:val="30"/>
                <w:szCs w:val="30"/>
              </w:rPr>
            </w:pPr>
            <w:r>
              <w:rPr>
                <w:rFonts w:hint="eastAsia" w:eastAsia="楷体_GB2312"/>
                <w:b/>
                <w:sz w:val="30"/>
                <w:szCs w:val="30"/>
              </w:rPr>
              <w:t>授权学科</w:t>
            </w:r>
          </w:p>
          <w:p w14:paraId="0408455A">
            <w:pPr>
              <w:jc w:val="distribute"/>
              <w:rPr>
                <w:rFonts w:eastAsia="楷体_GB2312"/>
                <w:b/>
                <w:sz w:val="30"/>
                <w:szCs w:val="30"/>
              </w:rPr>
            </w:pPr>
            <w:r>
              <w:rPr>
                <w:rFonts w:hint="eastAsia" w:eastAsia="楷体_GB2312"/>
                <w:b/>
                <w:sz w:val="30"/>
                <w:szCs w:val="30"/>
              </w:rPr>
              <w:t>（类别）</w:t>
            </w:r>
          </w:p>
        </w:tc>
        <w:tc>
          <w:tcPr>
            <w:tcW w:w="2832" w:type="dxa"/>
            <w:tcBorders>
              <w:top w:val="nil"/>
              <w:left w:val="single" w:color="auto" w:sz="4" w:space="0"/>
              <w:bottom w:val="single" w:color="auto" w:sz="4" w:space="0"/>
              <w:right w:val="nil"/>
            </w:tcBorders>
            <w:shd w:val="clear" w:color="auto" w:fill="auto"/>
            <w:noWrap w:val="0"/>
            <w:vAlign w:val="center"/>
          </w:tcPr>
          <w:p w14:paraId="07395687">
            <w:pPr>
              <w:rPr>
                <w:rFonts w:eastAsia="楷体_GB2312"/>
                <w:b/>
                <w:sz w:val="30"/>
                <w:szCs w:val="30"/>
              </w:rPr>
            </w:pPr>
            <w:r>
              <w:rPr>
                <w:rFonts w:hint="eastAsia" w:eastAsia="楷体_GB2312"/>
                <w:b/>
                <w:sz w:val="30"/>
                <w:szCs w:val="30"/>
              </w:rPr>
              <w:t>名称：</w:t>
            </w:r>
          </w:p>
        </w:tc>
      </w:tr>
      <w:tr w14:paraId="2636167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08" w:type="dxa"/>
            <w:vMerge w:val="continue"/>
            <w:tcBorders>
              <w:top w:val="nil"/>
              <w:left w:val="nil"/>
              <w:bottom w:val="nil"/>
              <w:right w:val="single" w:color="auto" w:sz="4" w:space="0"/>
            </w:tcBorders>
            <w:shd w:val="clear" w:color="auto" w:fill="auto"/>
            <w:noWrap w:val="0"/>
            <w:vAlign w:val="center"/>
          </w:tcPr>
          <w:p w14:paraId="3E5DF5DE">
            <w:pPr>
              <w:widowControl/>
              <w:jc w:val="left"/>
              <w:rPr>
                <w:rFonts w:eastAsia="楷体_GB2312"/>
                <w:b/>
                <w:sz w:val="30"/>
                <w:szCs w:val="30"/>
              </w:rPr>
            </w:pPr>
          </w:p>
        </w:tc>
        <w:tc>
          <w:tcPr>
            <w:tcW w:w="2832" w:type="dxa"/>
            <w:tcBorders>
              <w:top w:val="single" w:color="auto" w:sz="4" w:space="0"/>
              <w:left w:val="single" w:color="auto" w:sz="4" w:space="0"/>
              <w:bottom w:val="nil"/>
              <w:right w:val="nil"/>
            </w:tcBorders>
            <w:shd w:val="clear" w:color="auto" w:fill="auto"/>
            <w:noWrap w:val="0"/>
            <w:vAlign w:val="center"/>
          </w:tcPr>
          <w:p w14:paraId="3B682CA7">
            <w:pPr>
              <w:rPr>
                <w:rFonts w:eastAsia="楷体_GB2312"/>
                <w:b/>
                <w:sz w:val="30"/>
                <w:szCs w:val="30"/>
              </w:rPr>
            </w:pPr>
            <w:r>
              <w:rPr>
                <w:rFonts w:hint="eastAsia" w:eastAsia="楷体_GB2312"/>
                <w:b/>
                <w:sz w:val="30"/>
                <w:szCs w:val="30"/>
              </w:rPr>
              <w:t>代码：</w:t>
            </w:r>
          </w:p>
        </w:tc>
      </w:tr>
    </w:tbl>
    <w:p w14:paraId="62C55BD4">
      <w:pPr>
        <w:spacing w:line="720" w:lineRule="auto"/>
        <w:jc w:val="center"/>
        <w:rPr>
          <w:rFonts w:eastAsia="楷体_GB2312"/>
          <w:b/>
          <w:sz w:val="30"/>
          <w:szCs w:val="30"/>
        </w:rPr>
      </w:pPr>
    </w:p>
    <w:tbl>
      <w:tblPr>
        <w:tblStyle w:val="7"/>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208"/>
        <w:gridCol w:w="2832"/>
      </w:tblGrid>
      <w:tr w14:paraId="2FFD9DB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08" w:type="dxa"/>
            <w:vMerge w:val="restart"/>
            <w:tcBorders>
              <w:top w:val="nil"/>
              <w:left w:val="nil"/>
              <w:bottom w:val="nil"/>
              <w:right w:val="single" w:color="auto" w:sz="4" w:space="0"/>
            </w:tcBorders>
            <w:shd w:val="clear" w:color="auto" w:fill="auto"/>
            <w:noWrap w:val="0"/>
            <w:vAlign w:val="center"/>
          </w:tcPr>
          <w:p w14:paraId="7ADA121F">
            <w:pPr>
              <w:jc w:val="distribute"/>
              <w:rPr>
                <w:rFonts w:eastAsia="楷体_GB2312"/>
                <w:b/>
                <w:sz w:val="30"/>
                <w:szCs w:val="30"/>
              </w:rPr>
            </w:pPr>
            <w:r>
              <w:rPr>
                <w:rFonts w:hint="eastAsia" w:eastAsia="楷体_GB2312"/>
                <w:b/>
                <w:sz w:val="30"/>
                <w:szCs w:val="30"/>
              </w:rPr>
              <w:t>授权级别</w:t>
            </w:r>
          </w:p>
        </w:tc>
        <w:tc>
          <w:tcPr>
            <w:tcW w:w="2832" w:type="dxa"/>
            <w:tcBorders>
              <w:top w:val="nil"/>
              <w:left w:val="single" w:color="auto" w:sz="4" w:space="0"/>
              <w:bottom w:val="single" w:color="auto" w:sz="4" w:space="0"/>
              <w:right w:val="nil"/>
            </w:tcBorders>
            <w:shd w:val="clear" w:color="auto" w:fill="auto"/>
            <w:noWrap w:val="0"/>
            <w:vAlign w:val="center"/>
          </w:tcPr>
          <w:p w14:paraId="00A56841">
            <w:pPr>
              <w:rPr>
                <w:rFonts w:eastAsia="楷体_GB2312"/>
                <w:b/>
                <w:sz w:val="30"/>
                <w:szCs w:val="30"/>
              </w:rPr>
            </w:pPr>
            <w:r>
              <w:rPr>
                <w:rFonts w:eastAsia="楷体_GB2312"/>
                <w:b/>
                <w:sz w:val="30"/>
                <w:szCs w:val="30"/>
              </w:rPr>
              <w:t xml:space="preserve">□  </w:t>
            </w:r>
            <w:r>
              <w:rPr>
                <w:rFonts w:hint="eastAsia" w:eastAsia="楷体_GB2312"/>
                <w:b/>
                <w:sz w:val="30"/>
                <w:szCs w:val="30"/>
              </w:rPr>
              <w:t>博</w:t>
            </w:r>
            <w:r>
              <w:rPr>
                <w:rFonts w:eastAsia="楷体_GB2312"/>
                <w:b/>
                <w:sz w:val="30"/>
                <w:szCs w:val="30"/>
              </w:rPr>
              <w:t xml:space="preserve">  </w:t>
            </w:r>
            <w:r>
              <w:rPr>
                <w:rFonts w:hint="eastAsia" w:eastAsia="楷体_GB2312"/>
                <w:b/>
                <w:sz w:val="30"/>
                <w:szCs w:val="30"/>
              </w:rPr>
              <w:t>士</w:t>
            </w:r>
          </w:p>
        </w:tc>
      </w:tr>
      <w:tr w14:paraId="69961D9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208" w:type="dxa"/>
            <w:vMerge w:val="continue"/>
            <w:tcBorders>
              <w:top w:val="nil"/>
              <w:left w:val="nil"/>
              <w:bottom w:val="nil"/>
              <w:right w:val="single" w:color="auto" w:sz="4" w:space="0"/>
            </w:tcBorders>
            <w:shd w:val="clear" w:color="auto" w:fill="auto"/>
            <w:noWrap w:val="0"/>
            <w:vAlign w:val="center"/>
          </w:tcPr>
          <w:p w14:paraId="378566D6">
            <w:pPr>
              <w:widowControl/>
              <w:jc w:val="left"/>
              <w:rPr>
                <w:rFonts w:eastAsia="楷体_GB2312"/>
                <w:b/>
                <w:sz w:val="30"/>
                <w:szCs w:val="30"/>
              </w:rPr>
            </w:pPr>
          </w:p>
        </w:tc>
        <w:tc>
          <w:tcPr>
            <w:tcW w:w="2832" w:type="dxa"/>
            <w:tcBorders>
              <w:top w:val="single" w:color="auto" w:sz="4" w:space="0"/>
              <w:left w:val="single" w:color="auto" w:sz="4" w:space="0"/>
              <w:bottom w:val="nil"/>
              <w:right w:val="nil"/>
            </w:tcBorders>
            <w:shd w:val="clear" w:color="auto" w:fill="auto"/>
            <w:noWrap w:val="0"/>
            <w:vAlign w:val="center"/>
          </w:tcPr>
          <w:p w14:paraId="315EC72D">
            <w:pPr>
              <w:rPr>
                <w:rFonts w:eastAsia="楷体_GB2312"/>
                <w:b/>
                <w:sz w:val="30"/>
                <w:szCs w:val="30"/>
              </w:rPr>
            </w:pPr>
            <w:r>
              <w:rPr>
                <w:rFonts w:eastAsia="楷体_GB2312"/>
                <w:b/>
                <w:sz w:val="30"/>
                <w:szCs w:val="30"/>
              </w:rPr>
              <w:t xml:space="preserve">□  </w:t>
            </w:r>
            <w:r>
              <w:rPr>
                <w:rFonts w:hint="eastAsia" w:eastAsia="楷体_GB2312"/>
                <w:b/>
                <w:sz w:val="30"/>
                <w:szCs w:val="30"/>
              </w:rPr>
              <w:t>硕</w:t>
            </w:r>
            <w:r>
              <w:rPr>
                <w:rFonts w:eastAsia="楷体_GB2312"/>
                <w:b/>
                <w:sz w:val="30"/>
                <w:szCs w:val="30"/>
              </w:rPr>
              <w:t xml:space="preserve">  </w:t>
            </w:r>
            <w:r>
              <w:rPr>
                <w:rFonts w:hint="eastAsia" w:eastAsia="楷体_GB2312"/>
                <w:b/>
                <w:sz w:val="30"/>
                <w:szCs w:val="30"/>
              </w:rPr>
              <w:t>士</w:t>
            </w:r>
          </w:p>
        </w:tc>
      </w:tr>
    </w:tbl>
    <w:p w14:paraId="66EF32DB">
      <w:pPr>
        <w:rPr>
          <w:rFonts w:eastAsia="楷体_GB2312"/>
          <w:b/>
          <w:sz w:val="30"/>
          <w:szCs w:val="30"/>
        </w:rPr>
      </w:pPr>
    </w:p>
    <w:p w14:paraId="7597A880">
      <w:pPr>
        <w:rPr>
          <w:rFonts w:eastAsia="楷体_GB2312"/>
          <w:b/>
          <w:sz w:val="30"/>
          <w:szCs w:val="30"/>
        </w:rPr>
      </w:pPr>
    </w:p>
    <w:p w14:paraId="0999ED2B">
      <w:pPr>
        <w:rPr>
          <w:rFonts w:eastAsia="楷体_GB2312"/>
          <w:b/>
          <w:sz w:val="30"/>
          <w:szCs w:val="30"/>
        </w:rPr>
      </w:pPr>
    </w:p>
    <w:p w14:paraId="14505515">
      <w:pPr>
        <w:rPr>
          <w:rFonts w:eastAsia="楷体_GB2312"/>
          <w:b/>
          <w:sz w:val="30"/>
          <w:szCs w:val="30"/>
        </w:rPr>
      </w:pPr>
    </w:p>
    <w:p w14:paraId="44EFEB38">
      <w:pPr>
        <w:rPr>
          <w:rFonts w:eastAsia="楷体_GB2312"/>
          <w:b/>
          <w:sz w:val="30"/>
          <w:szCs w:val="30"/>
        </w:rPr>
      </w:pPr>
    </w:p>
    <w:p w14:paraId="7D09D6B4">
      <w:pPr>
        <w:jc w:val="center"/>
        <w:rPr>
          <w:rFonts w:eastAsia="楷体_GB2312"/>
          <w:b/>
          <w:sz w:val="30"/>
          <w:szCs w:val="30"/>
        </w:rPr>
      </w:pPr>
    </w:p>
    <w:p w14:paraId="453AA23E">
      <w:pPr>
        <w:jc w:val="center"/>
        <w:rPr>
          <w:rFonts w:eastAsia="楷体_GB2312"/>
          <w:b/>
          <w:sz w:val="30"/>
          <w:szCs w:val="30"/>
        </w:rPr>
      </w:pPr>
      <w:r>
        <w:rPr>
          <w:rFonts w:eastAsia="楷体_GB2312"/>
          <w:b/>
          <w:sz w:val="30"/>
          <w:szCs w:val="30"/>
        </w:rPr>
        <w:t xml:space="preserve"> </w:t>
      </w:r>
      <w:r>
        <w:rPr>
          <w:rFonts w:hint="default" w:ascii="Times New Roman" w:hAnsi="Times New Roman" w:eastAsia="楷体_GB2312" w:cs="Times New Roman"/>
          <w:b/>
          <w:sz w:val="30"/>
          <w:szCs w:val="30"/>
          <w:lang w:val="en-US" w:eastAsia="zh-CN"/>
        </w:rPr>
        <w:t>202</w:t>
      </w:r>
      <w:r>
        <w:rPr>
          <w:rFonts w:hint="eastAsia" w:ascii="Times New Roman" w:hAnsi="Times New Roman" w:eastAsia="楷体_GB2312" w:cs="Times New Roman"/>
          <w:b/>
          <w:sz w:val="30"/>
          <w:szCs w:val="30"/>
          <w:lang w:val="en-US" w:eastAsia="zh-CN"/>
        </w:rPr>
        <w:t>6</w:t>
      </w:r>
      <w:r>
        <w:rPr>
          <w:rFonts w:hint="default" w:ascii="Times New Roman" w:hAnsi="Times New Roman" w:eastAsia="楷体_GB2312" w:cs="Times New Roman"/>
          <w:b/>
          <w:sz w:val="30"/>
          <w:szCs w:val="30"/>
        </w:rPr>
        <w:t>年</w:t>
      </w:r>
      <w:r>
        <w:rPr>
          <w:rFonts w:hint="eastAsia" w:ascii="Times New Roman" w:hAnsi="Times New Roman" w:eastAsia="楷体_GB2312" w:cs="Times New Roman"/>
          <w:b/>
          <w:sz w:val="30"/>
          <w:szCs w:val="30"/>
          <w:lang w:val="en-US" w:eastAsia="zh-CN"/>
        </w:rPr>
        <w:t xml:space="preserve">  </w:t>
      </w:r>
      <w:r>
        <w:rPr>
          <w:rFonts w:hint="default" w:ascii="Times New Roman" w:hAnsi="Times New Roman" w:eastAsia="楷体_GB2312" w:cs="Times New Roman"/>
          <w:b/>
          <w:sz w:val="30"/>
          <w:szCs w:val="30"/>
        </w:rPr>
        <w:t>月</w:t>
      </w:r>
      <w:r>
        <w:rPr>
          <w:rFonts w:hint="eastAsia" w:ascii="Times New Roman" w:hAnsi="Times New Roman" w:eastAsia="楷体_GB2312" w:cs="Times New Roman"/>
          <w:b/>
          <w:sz w:val="30"/>
          <w:szCs w:val="30"/>
          <w:lang w:val="en-US" w:eastAsia="zh-CN"/>
        </w:rPr>
        <w:t xml:space="preserve">  </w:t>
      </w:r>
      <w:r>
        <w:rPr>
          <w:rFonts w:hint="default" w:ascii="Times New Roman" w:hAnsi="Times New Roman" w:eastAsia="楷体_GB2312" w:cs="Times New Roman"/>
          <w:b/>
          <w:sz w:val="30"/>
          <w:szCs w:val="30"/>
        </w:rPr>
        <w:t>日</w:t>
      </w:r>
    </w:p>
    <w:p w14:paraId="233D182C">
      <w:pPr>
        <w:spacing w:line="336" w:lineRule="auto"/>
        <w:jc w:val="left"/>
        <w:rPr>
          <w:rFonts w:eastAsia="仿宋"/>
          <w:b/>
          <w:kern w:val="0"/>
          <w:sz w:val="28"/>
        </w:rPr>
        <w:sectPr>
          <w:footerReference r:id="rId4" w:type="first"/>
          <w:footerReference r:id="rId3" w:type="default"/>
          <w:pgSz w:w="11906" w:h="16838"/>
          <w:pgMar w:top="1701" w:right="1701" w:bottom="1418" w:left="1701" w:header="720" w:footer="720" w:gutter="0"/>
          <w:pgNumType w:start="1"/>
          <w:cols w:space="720" w:num="1"/>
          <w:docGrid w:linePitch="285" w:charSpace="0"/>
        </w:sectPr>
      </w:pPr>
    </w:p>
    <w:p w14:paraId="2DF97EF6">
      <w:pPr>
        <w:spacing w:after="120" w:afterLines="50" w:line="400" w:lineRule="exact"/>
        <w:ind w:firstLine="643"/>
        <w:jc w:val="center"/>
        <w:rPr>
          <w:rFonts w:eastAsia="楷体_GB2312"/>
          <w:b/>
          <w:sz w:val="32"/>
          <w:szCs w:val="32"/>
        </w:rPr>
      </w:pPr>
    </w:p>
    <w:p w14:paraId="057860B6">
      <w:pPr>
        <w:spacing w:after="120" w:afterLines="50" w:line="400" w:lineRule="exact"/>
        <w:ind w:firstLine="643"/>
        <w:jc w:val="center"/>
        <w:rPr>
          <w:rFonts w:eastAsia="楷体_GB2312"/>
          <w:b/>
          <w:sz w:val="32"/>
          <w:szCs w:val="32"/>
        </w:rPr>
      </w:pPr>
      <w:r>
        <w:rPr>
          <w:rFonts w:eastAsia="楷体_GB2312"/>
          <w:b/>
          <w:sz w:val="32"/>
          <w:szCs w:val="32"/>
        </w:rPr>
        <w:t>编 写 说 明</w:t>
      </w:r>
    </w:p>
    <w:p w14:paraId="070E91D9">
      <w:pPr>
        <w:pStyle w:val="16"/>
        <w:rPr>
          <w:rFonts w:hint="eastAsia"/>
        </w:rPr>
      </w:pPr>
      <w:r>
        <w:rPr>
          <w:rFonts w:hint="eastAsia"/>
        </w:rPr>
        <w:t>一、本</w:t>
      </w:r>
      <w:r>
        <w:t>报告</w:t>
      </w:r>
      <w:r>
        <w:rPr>
          <w:rFonts w:hint="eastAsia"/>
        </w:rPr>
        <w:t>是对</w:t>
      </w:r>
      <w:r>
        <w:rPr>
          <w:rFonts w:hint="eastAsia"/>
          <w:lang w:eastAsia="zh-CN"/>
        </w:rPr>
        <w:t>学位授予点</w:t>
      </w:r>
      <w:r>
        <w:rPr>
          <w:rFonts w:hint="eastAsia"/>
        </w:rPr>
        <w:t>年度建设情况的全面总结，撰写主要突出</w:t>
      </w:r>
      <w:r>
        <w:rPr>
          <w:rFonts w:hint="eastAsia"/>
          <w:lang w:eastAsia="zh-CN"/>
        </w:rPr>
        <w:t>学位授予点</w:t>
      </w:r>
      <w:r>
        <w:rPr>
          <w:rFonts w:hint="eastAsia"/>
        </w:rPr>
        <w:t>建设的基本情况，制度建设完善和执行情况。分为六个部分：</w:t>
      </w:r>
      <w:r>
        <w:rPr>
          <w:rFonts w:hint="eastAsia"/>
          <w:lang w:eastAsia="zh-CN"/>
        </w:rPr>
        <w:t>学位授予点</w:t>
      </w:r>
      <w:r>
        <w:rPr>
          <w:rFonts w:hint="eastAsia"/>
        </w:rPr>
        <w:t>建设总体情况</w:t>
      </w:r>
      <w:r>
        <w:t>、</w:t>
      </w:r>
      <w:r>
        <w:rPr>
          <w:rFonts w:hint="eastAsia"/>
        </w:rPr>
        <w:t>基本条件、人才培养、服务贡献、存在的问题和下一年度建设计划</w:t>
      </w:r>
      <w:r>
        <w:t>。</w:t>
      </w:r>
    </w:p>
    <w:p w14:paraId="6730789C">
      <w:pPr>
        <w:pStyle w:val="16"/>
        <w:rPr>
          <w:rFonts w:hint="eastAsia" w:eastAsia="仿宋_GB2312"/>
          <w:lang w:eastAsia="zh-CN"/>
        </w:rPr>
      </w:pPr>
      <w:r>
        <w:rPr>
          <w:rFonts w:hint="eastAsia"/>
        </w:rPr>
        <w:t>二、本报告按</w:t>
      </w:r>
      <w:r>
        <w:t>学术</w:t>
      </w:r>
      <w:r>
        <w:rPr>
          <w:rFonts w:hint="eastAsia"/>
          <w:lang w:eastAsia="zh-CN"/>
        </w:rPr>
        <w:t>学位授予点</w:t>
      </w:r>
      <w:r>
        <w:t>和专业</w:t>
      </w:r>
      <w:r>
        <w:rPr>
          <w:rFonts w:hint="eastAsia"/>
          <w:lang w:eastAsia="zh-CN"/>
        </w:rPr>
        <w:t>学位授予点</w:t>
      </w:r>
      <w:r>
        <w:rPr>
          <w:rFonts w:hint="eastAsia"/>
        </w:rPr>
        <w:t>分别</w:t>
      </w:r>
      <w:r>
        <w:t>编写</w:t>
      </w:r>
      <w:r>
        <w:rPr>
          <w:rFonts w:hint="eastAsia"/>
          <w:lang w:eastAsia="zh-CN"/>
        </w:rPr>
        <w:t>。</w:t>
      </w:r>
    </w:p>
    <w:p w14:paraId="4107EF49">
      <w:pPr>
        <w:pStyle w:val="16"/>
        <w:ind w:firstLine="488"/>
        <w:rPr>
          <w:rFonts w:hint="eastAsia"/>
        </w:rPr>
      </w:pPr>
      <w:r>
        <w:rPr>
          <w:rFonts w:hint="eastAsia"/>
          <w:spacing w:val="2"/>
        </w:rPr>
        <w:t>三</w:t>
      </w:r>
      <w:r>
        <w:rPr>
          <w:spacing w:val="2"/>
        </w:rPr>
        <w:t>、本</w:t>
      </w:r>
      <w:r>
        <w:rPr>
          <w:rFonts w:hint="eastAsia"/>
          <w:spacing w:val="2"/>
        </w:rPr>
        <w:t>报告采取写实性描述，能用数据定量描述的，不得定性描述。定量数据除总量外，尽可能用师均、生均或比例描述。</w:t>
      </w:r>
      <w:r>
        <w:rPr>
          <w:rFonts w:hint="eastAsia"/>
        </w:rPr>
        <w:t>相关数据统计，清单列表可以使用图表表示。</w:t>
      </w:r>
      <w:r>
        <w:rPr>
          <w:rFonts w:hint="eastAsia"/>
          <w:spacing w:val="2"/>
        </w:rPr>
        <w:t>报告中所描述的内容和数据</w:t>
      </w:r>
      <w:r>
        <w:rPr>
          <w:spacing w:val="2"/>
        </w:rPr>
        <w:t>应确属本学</w:t>
      </w:r>
      <w:r>
        <w:rPr>
          <w:rFonts w:hint="eastAsia"/>
          <w:spacing w:val="2"/>
        </w:rPr>
        <w:t>位点</w:t>
      </w:r>
      <w:r>
        <w:rPr>
          <w:spacing w:val="2"/>
        </w:rPr>
        <w:t>，必须</w:t>
      </w:r>
      <w:r>
        <w:rPr>
          <w:rFonts w:hint="eastAsia"/>
          <w:spacing w:val="2"/>
        </w:rPr>
        <w:t>真实、</w:t>
      </w:r>
      <w:r>
        <w:t>准确</w:t>
      </w:r>
      <w:r>
        <w:rPr>
          <w:rFonts w:hint="eastAsia"/>
        </w:rPr>
        <w:t>，</w:t>
      </w:r>
      <w:r>
        <w:t>有据可查</w:t>
      </w:r>
      <w:r>
        <w:rPr>
          <w:rFonts w:hint="eastAsia"/>
        </w:rPr>
        <w:t>。</w:t>
      </w:r>
    </w:p>
    <w:p w14:paraId="550B2C55">
      <w:pPr>
        <w:pStyle w:val="16"/>
        <w:rPr>
          <w:rFonts w:hint="eastAsia"/>
          <w:spacing w:val="2"/>
        </w:rPr>
      </w:pPr>
      <w:r>
        <w:rPr>
          <w:rFonts w:hint="eastAsia"/>
        </w:rPr>
        <w:t>四、</w:t>
      </w:r>
      <w:r>
        <w:rPr>
          <w:rFonts w:hint="eastAsia"/>
          <w:spacing w:val="2"/>
        </w:rPr>
        <w:t>除另有说明外，本报告涉及过程信息的数据（如科研获奖、科研项目、学术论文等），统计时间段为</w:t>
      </w:r>
      <w:r>
        <w:rPr>
          <w:rFonts w:hint="default" w:ascii="Times New Roman" w:hAnsi="Times New Roman" w:cs="Times New Roman"/>
          <w:spacing w:val="2"/>
        </w:rPr>
        <w:t>202</w:t>
      </w:r>
      <w:r>
        <w:rPr>
          <w:rFonts w:hint="default" w:ascii="Times New Roman" w:hAnsi="Times New Roman" w:cs="Times New Roman"/>
          <w:spacing w:val="2"/>
          <w:lang w:val="en-US" w:eastAsia="zh-CN"/>
        </w:rPr>
        <w:t>5</w:t>
      </w:r>
      <w:r>
        <w:rPr>
          <w:rFonts w:hint="default" w:ascii="Times New Roman" w:hAnsi="Times New Roman" w:cs="Times New Roman"/>
          <w:spacing w:val="2"/>
        </w:rPr>
        <w:t>年1月1日—202</w:t>
      </w:r>
      <w:r>
        <w:rPr>
          <w:rFonts w:hint="default" w:ascii="Times New Roman" w:hAnsi="Times New Roman" w:cs="Times New Roman"/>
          <w:spacing w:val="2"/>
          <w:lang w:val="en-US" w:eastAsia="zh-CN"/>
        </w:rPr>
        <w:t>5</w:t>
      </w:r>
      <w:r>
        <w:rPr>
          <w:rFonts w:hint="default" w:ascii="Times New Roman" w:hAnsi="Times New Roman" w:cs="Times New Roman"/>
          <w:spacing w:val="2"/>
        </w:rPr>
        <w:t>年12月31日；涉及状态信息的数据（如师资队伍），统计时间点为202</w:t>
      </w:r>
      <w:r>
        <w:rPr>
          <w:rFonts w:hint="default" w:ascii="Times New Roman" w:hAnsi="Times New Roman" w:cs="Times New Roman"/>
          <w:spacing w:val="2"/>
          <w:lang w:val="en-US" w:eastAsia="zh-CN"/>
        </w:rPr>
        <w:t>5</w:t>
      </w:r>
      <w:r>
        <w:rPr>
          <w:rFonts w:hint="default" w:ascii="Times New Roman" w:hAnsi="Times New Roman" w:cs="Times New Roman"/>
          <w:spacing w:val="2"/>
        </w:rPr>
        <w:t>年12月31</w:t>
      </w:r>
      <w:r>
        <w:rPr>
          <w:rFonts w:hint="eastAsia"/>
          <w:spacing w:val="2"/>
        </w:rPr>
        <w:t>日。</w:t>
      </w:r>
    </w:p>
    <w:p w14:paraId="68D73D6B">
      <w:pPr>
        <w:pStyle w:val="16"/>
        <w:rPr>
          <w:rFonts w:hint="eastAsia"/>
        </w:rPr>
      </w:pPr>
      <w:r>
        <w:rPr>
          <w:rFonts w:hint="eastAsia"/>
          <w:lang w:val="en-US" w:eastAsia="zh-CN"/>
        </w:rPr>
        <w:t>五</w:t>
      </w:r>
      <w:r>
        <w:t>、</w:t>
      </w:r>
      <w:r>
        <w:rPr>
          <w:rFonts w:hint="eastAsia"/>
        </w:rPr>
        <w:t>除特别注明的兼职导师外，</w:t>
      </w:r>
      <w:r>
        <w:t>本</w:t>
      </w:r>
      <w:r>
        <w:rPr>
          <w:rFonts w:hint="eastAsia"/>
        </w:rPr>
        <w:t>报告</w:t>
      </w:r>
      <w:r>
        <w:t>所涉及的</w:t>
      </w:r>
      <w:r>
        <w:rPr>
          <w:rFonts w:hint="eastAsia"/>
        </w:rPr>
        <w:t>师资</w:t>
      </w:r>
      <w:r>
        <w:t>均指</w:t>
      </w:r>
      <w:r>
        <w:rPr>
          <w:rFonts w:hint="eastAsia"/>
        </w:rPr>
        <w:t>目前</w:t>
      </w:r>
      <w:r>
        <w:t>人事关系隶属本</w:t>
      </w:r>
      <w:r>
        <w:rPr>
          <w:rFonts w:hint="eastAsia"/>
        </w:rPr>
        <w:t>单位的</w:t>
      </w:r>
      <w:r>
        <w:t>专职人员</w:t>
      </w:r>
      <w:r>
        <w:rPr>
          <w:rFonts w:hint="eastAsia"/>
        </w:rPr>
        <w:t>（同一人员原则上不得在不同学术学位点或不同专业学位点重复填写）。</w:t>
      </w:r>
    </w:p>
    <w:p w14:paraId="468C5FF4">
      <w:pPr>
        <w:pStyle w:val="16"/>
        <w:rPr>
          <w:rFonts w:hint="eastAsia"/>
        </w:rPr>
      </w:pPr>
      <w:r>
        <w:rPr>
          <w:rFonts w:hint="eastAsia"/>
          <w:lang w:val="en-US" w:eastAsia="zh-CN"/>
        </w:rPr>
        <w:t>六</w:t>
      </w:r>
      <w:r>
        <w:rPr>
          <w:rFonts w:hint="eastAsia"/>
        </w:rPr>
        <w:t>、</w:t>
      </w:r>
      <w:r>
        <w:t>本</w:t>
      </w:r>
      <w:r>
        <w:rPr>
          <w:rFonts w:hint="eastAsia"/>
        </w:rPr>
        <w:t>报告</w:t>
      </w:r>
      <w:r>
        <w:t>中所涉及的成果（论文、专著、专利、科研奖励、教学成果奖励等）</w:t>
      </w:r>
      <w:r>
        <w:rPr>
          <w:rFonts w:hint="eastAsia"/>
        </w:rPr>
        <w:t>应是署名本单位，且同一人员的同一成果不得在不同学术学位点或不同专业学位点重复填写。</w:t>
      </w:r>
      <w:r>
        <w:t>引进人员在调入本学</w:t>
      </w:r>
      <w:r>
        <w:rPr>
          <w:rFonts w:hint="eastAsia"/>
        </w:rPr>
        <w:t>位</w:t>
      </w:r>
      <w:r>
        <w:t>点之前署名其他单位所获得的成果不填写、不统计。</w:t>
      </w:r>
    </w:p>
    <w:p w14:paraId="62677380">
      <w:pPr>
        <w:pStyle w:val="16"/>
        <w:rPr>
          <w:rFonts w:hint="eastAsia"/>
          <w:spacing w:val="2"/>
        </w:rPr>
        <w:sectPr>
          <w:footerReference r:id="rId6" w:type="first"/>
          <w:footerReference r:id="rId5" w:type="default"/>
          <w:pgSz w:w="11906" w:h="16838"/>
          <w:pgMar w:top="1701" w:right="1701" w:bottom="1418" w:left="1701" w:header="720" w:footer="720" w:gutter="0"/>
          <w:pgNumType w:start="1"/>
          <w:cols w:space="720" w:num="1"/>
          <w:titlePg/>
          <w:docGrid w:linePitch="285" w:charSpace="0"/>
        </w:sectPr>
      </w:pPr>
      <w:r>
        <w:rPr>
          <w:rFonts w:hint="eastAsia"/>
          <w:lang w:val="en-US" w:eastAsia="zh-CN"/>
        </w:rPr>
        <w:t>七</w:t>
      </w:r>
      <w:r>
        <w:rPr>
          <w:rFonts w:hint="eastAsia"/>
        </w:rPr>
        <w:t>、本报告是</w:t>
      </w:r>
      <w:r>
        <w:rPr>
          <w:rFonts w:hint="eastAsia"/>
          <w:lang w:eastAsia="zh-CN"/>
        </w:rPr>
        <w:t>学位授予点</w:t>
      </w:r>
      <w:r>
        <w:rPr>
          <w:rFonts w:hint="eastAsia"/>
        </w:rPr>
        <w:t>合格评估评议材料之一，</w:t>
      </w:r>
      <w:r>
        <w:rPr>
          <w:rFonts w:hint="eastAsia"/>
          <w:spacing w:val="2"/>
        </w:rPr>
        <w:t>涉及国家机密的内容一律按国家有关保密规定进行脱密处理后，应在本单位门户网站发布。</w:t>
      </w:r>
    </w:p>
    <w:p w14:paraId="414D84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一、学位授予点建设总体情况</w:t>
      </w:r>
    </w:p>
    <w:p w14:paraId="13B77E7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（一）本学位点主要研究方向、优势和特色等</w:t>
      </w:r>
    </w:p>
    <w:p w14:paraId="04E441D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（二）培养目标与学位标准</w:t>
      </w:r>
    </w:p>
    <w:p w14:paraId="246F039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default" w:ascii="Times New Roman" w:hAnsi="Times New Roman" w:eastAsia="楷体_GB2312" w:cs="Times New Roman"/>
          <w:b/>
          <w:bCs/>
          <w:kern w:val="2"/>
          <w:sz w:val="32"/>
          <w:szCs w:val="32"/>
          <w:lang w:val="en-US" w:eastAsia="zh-CN"/>
        </w:rPr>
        <w:t>1.</w:t>
      </w:r>
      <w:r>
        <w:rPr>
          <w:rFonts w:hint="eastAsia" w:ascii="楷体_GB2312" w:hAnsi="楷体_GB2312" w:eastAsia="楷体_GB2312" w:cs="楷体_GB2312"/>
          <w:b/>
          <w:bCs/>
          <w:kern w:val="2"/>
          <w:sz w:val="32"/>
          <w:szCs w:val="32"/>
          <w:lang w:val="en-US" w:eastAsia="zh-CN"/>
        </w:rPr>
        <w:t>培养目标</w:t>
      </w:r>
    </w:p>
    <w:p w14:paraId="704EB52C">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【本学位点研究生培养的目标定位。（可参考培养方案撰写）】</w:t>
      </w:r>
    </w:p>
    <w:p w14:paraId="1BEA599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default" w:ascii="Times New Roman" w:hAnsi="Times New Roman" w:eastAsia="楷体_GB2312" w:cs="Times New Roman"/>
          <w:b/>
          <w:bCs/>
          <w:kern w:val="2"/>
          <w:sz w:val="32"/>
          <w:szCs w:val="32"/>
          <w:lang w:val="en-US" w:eastAsia="zh-CN"/>
        </w:rPr>
        <w:t>2.</w:t>
      </w:r>
      <w:r>
        <w:rPr>
          <w:rFonts w:hint="eastAsia" w:ascii="楷体_GB2312" w:hAnsi="楷体_GB2312" w:eastAsia="楷体_GB2312" w:cs="楷体_GB2312"/>
          <w:b/>
          <w:bCs/>
          <w:kern w:val="2"/>
          <w:sz w:val="32"/>
          <w:szCs w:val="32"/>
          <w:lang w:val="en-US" w:eastAsia="zh-CN"/>
        </w:rPr>
        <w:t>学位标准</w:t>
      </w:r>
    </w:p>
    <w:p w14:paraId="0E4D293F">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【符合本学科特点，与本单位办学定位及特色相一致的学位授予质量标准的制定及执行情况。</w:t>
      </w:r>
      <w:r>
        <w:rPr>
          <w:rFonts w:hint="eastAsia" w:ascii="仿宋" w:hAnsi="仿宋" w:eastAsia="仿宋" w:cs="仿宋"/>
          <w:sz w:val="32"/>
          <w:szCs w:val="32"/>
          <w:lang w:val="en-US" w:eastAsia="zh-CN"/>
        </w:rPr>
        <w:t>可</w:t>
      </w:r>
      <w:r>
        <w:rPr>
          <w:rFonts w:hint="eastAsia" w:ascii="仿宋" w:hAnsi="仿宋" w:eastAsia="仿宋" w:cs="仿宋"/>
          <w:sz w:val="32"/>
          <w:szCs w:val="32"/>
        </w:rPr>
        <w:t>参考《研究生教育学科专业简介及其学位基本要求》】中本学位点相关内容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相关链接如下：</w:t>
      </w:r>
    </w:p>
    <w:p w14:paraId="66A947DA">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t>https://www.acge.org.cn/encyclopediaFront/enterEncyclopediaIndex</w:t>
      </w:r>
      <w:r>
        <w:rPr>
          <w:rFonts w:hint="default" w:ascii="Times New Roman" w:hAnsi="Times New Roman" w:cs="Times New Roman"/>
          <w:sz w:val="28"/>
          <w:szCs w:val="28"/>
          <w:lang w:eastAsia="zh-CN"/>
        </w:rPr>
        <w:t>）</w:t>
      </w:r>
    </w:p>
    <w:p w14:paraId="34D3D56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二、基本条件</w:t>
      </w:r>
    </w:p>
    <w:p w14:paraId="4C31203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（一）师资队伍</w:t>
      </w:r>
    </w:p>
    <w:p w14:paraId="40AC84D8">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default" w:ascii="Times New Roman" w:hAnsi="Times New Roman" w:eastAsia="仿宋" w:cs="Times New Roman"/>
          <w:sz w:val="32"/>
          <w:szCs w:val="32"/>
        </w:rPr>
        <w:t>1.</w:t>
      </w:r>
      <w:r>
        <w:rPr>
          <w:rFonts w:hint="eastAsia" w:ascii="仿宋" w:hAnsi="仿宋" w:eastAsia="仿宋" w:cs="仿宋"/>
          <w:sz w:val="32"/>
          <w:szCs w:val="32"/>
        </w:rPr>
        <w:t>各培养方向带头人与学术骨干（学术影响、科研情况、培养研究生情况）、师资情况（人数、学历结构、职称结构、年龄结构、国外学习经历）、导师占比等；</w:t>
      </w:r>
      <w:r>
        <w:rPr>
          <w:rFonts w:hint="default" w:ascii="Times New Roman" w:hAnsi="Times New Roman" w:eastAsia="仿宋" w:cs="Times New Roman"/>
          <w:sz w:val="32"/>
          <w:szCs w:val="32"/>
        </w:rPr>
        <w:t>2.</w:t>
      </w:r>
      <w:r>
        <w:rPr>
          <w:rFonts w:hint="eastAsia" w:ascii="仿宋" w:hAnsi="仿宋" w:eastAsia="仿宋" w:cs="仿宋"/>
          <w:sz w:val="32"/>
          <w:szCs w:val="32"/>
        </w:rPr>
        <w:t>师德师风建设情况（在师德教育、考核、监督等方面进展；先进典型及师德师风负面问题情况等）。专业</w:t>
      </w:r>
      <w:r>
        <w:rPr>
          <w:rFonts w:hint="eastAsia" w:ascii="仿宋" w:hAnsi="仿宋" w:eastAsia="仿宋" w:cs="仿宋"/>
          <w:sz w:val="32"/>
          <w:szCs w:val="32"/>
          <w:lang w:eastAsia="zh-CN"/>
        </w:rPr>
        <w:t>学位授予点</w:t>
      </w:r>
      <w:r>
        <w:rPr>
          <w:rFonts w:hint="eastAsia" w:ascii="仿宋" w:hAnsi="仿宋" w:eastAsia="仿宋" w:cs="仿宋"/>
          <w:sz w:val="32"/>
          <w:szCs w:val="32"/>
        </w:rPr>
        <w:t>应包括专任教师及行业教师情况。】</w:t>
      </w:r>
    </w:p>
    <w:p w14:paraId="7821591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（二）科学研究</w:t>
      </w:r>
    </w:p>
    <w:p w14:paraId="56A02098">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【在研项目情况（包括纵横向课题及到账经费情况）、科研成果、科研获奖、学术声誉等情况。】</w:t>
      </w:r>
    </w:p>
    <w:p w14:paraId="323074E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（三）教学科研支撑</w:t>
      </w:r>
    </w:p>
    <w:p w14:paraId="39FE1EC0">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【本学位点支撑研究生教育的平台情况。包括科研教学平台等，用于研究生培养的教学场所、实验室、实践基地、仪器设备情况；图书、期刊与数据文献等情况。专业</w:t>
      </w:r>
      <w:r>
        <w:rPr>
          <w:rFonts w:hint="eastAsia" w:ascii="仿宋" w:hAnsi="仿宋" w:eastAsia="仿宋" w:cs="仿宋"/>
          <w:sz w:val="32"/>
          <w:szCs w:val="32"/>
          <w:lang w:eastAsia="zh-CN"/>
        </w:rPr>
        <w:t>学位授予点</w:t>
      </w:r>
      <w:r>
        <w:rPr>
          <w:rFonts w:hint="eastAsia" w:ascii="仿宋" w:hAnsi="仿宋" w:eastAsia="仿宋" w:cs="仿宋"/>
          <w:sz w:val="32"/>
          <w:szCs w:val="32"/>
        </w:rPr>
        <w:t>应突出案例教学、实践教学的软硬件设施，联合培养基地建设情况。】</w:t>
      </w:r>
    </w:p>
    <w:p w14:paraId="3FE755B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（四）奖助体系</w:t>
      </w:r>
    </w:p>
    <w:p w14:paraId="0662645B">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【本学位点研究生奖助体系的制度建设、奖助结构与水平、覆盖面等情况。】</w:t>
      </w:r>
    </w:p>
    <w:p w14:paraId="632772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三、人才培养</w:t>
      </w:r>
    </w:p>
    <w:p w14:paraId="04E6D3F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（一）招生选拔</w:t>
      </w:r>
    </w:p>
    <w:p w14:paraId="65427CF9">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【研究生招生录取情况（报考数量、录取比例、录取人数、生源结构情况），以及为保证生源质量采取的措施。】</w:t>
      </w:r>
    </w:p>
    <w:p w14:paraId="1290BAF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（二）思政教育</w:t>
      </w:r>
    </w:p>
    <w:p w14:paraId="71CD9D57">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【思想政治理论课开设、课程思政、思政类课题、思政队伍建设、研究生党建工作等情况。】</w:t>
      </w:r>
    </w:p>
    <w:p w14:paraId="10B7A50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（三）课程教学</w:t>
      </w:r>
    </w:p>
    <w:p w14:paraId="547C73DB">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学位点开设的核心课程及主讲教师。研究生课程体系建设情况：课程教学改革与课程教学质量保障措施；课程标准或教学大纲的完备情况与实际执行情况；教学内容、教学方式与教学目标实现的达成度情况；课程教学成效（国家级及省级一流课程、研究生优质课程、专业学位研究生教育案例库及教学成果奖等情况）和持续改进机制；教材建设情况（出版国家及省部级优秀教材、入选国家级规划教材、参编“马工程”教材及其他教材建设情况）。】</w:t>
      </w:r>
    </w:p>
    <w:p w14:paraId="75B4027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（四）导师指导</w:t>
      </w:r>
    </w:p>
    <w:p w14:paraId="422E09D7">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导师选聘、培训、考核制度建设及落实情况。导师指导研究生情况（如：在提升研究生导师工作水平、营造和谐师生关系，落实《研究生导师指导行为准则》文件精神，发挥导师在“第一责任人”作用方面的成效），</w:t>
      </w:r>
      <w:r>
        <w:rPr>
          <w:rFonts w:hint="eastAsia" w:ascii="仿宋" w:hAnsi="仿宋" w:eastAsia="仿宋" w:cs="仿宋"/>
          <w:sz w:val="32"/>
          <w:szCs w:val="32"/>
          <w:lang w:eastAsia="zh-CN"/>
        </w:rPr>
        <w:t>硕士生</w:t>
      </w:r>
      <w:r>
        <w:rPr>
          <w:rFonts w:hint="eastAsia" w:ascii="仿宋" w:hAnsi="仿宋" w:eastAsia="仿宋" w:cs="仿宋"/>
          <w:sz w:val="32"/>
          <w:szCs w:val="32"/>
        </w:rPr>
        <w:t>导师岗位管理制度建设和落实情况。专业</w:t>
      </w:r>
      <w:r>
        <w:rPr>
          <w:rFonts w:hint="eastAsia" w:ascii="仿宋" w:hAnsi="仿宋" w:eastAsia="仿宋" w:cs="仿宋"/>
          <w:sz w:val="32"/>
          <w:szCs w:val="32"/>
          <w:lang w:eastAsia="zh-CN"/>
        </w:rPr>
        <w:t>学位授予点</w:t>
      </w:r>
      <w:r>
        <w:rPr>
          <w:rFonts w:hint="eastAsia" w:ascii="仿宋" w:hAnsi="仿宋" w:eastAsia="仿宋" w:cs="仿宋"/>
          <w:sz w:val="32"/>
          <w:szCs w:val="32"/>
        </w:rPr>
        <w:t>须说明行业产业导师选聘，研究生双导师制情况。】</w:t>
      </w:r>
    </w:p>
    <w:p w14:paraId="777A65B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（五）实践教学</w:t>
      </w:r>
    </w:p>
    <w:p w14:paraId="540585BD">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【阐述本学位点“实践教学”的内容，专业学位研究生参与实践教学，产教融合培养研究生成效，包括制度保证、经费支持，行业企业参与人才培养情况等。】</w:t>
      </w:r>
    </w:p>
    <w:p w14:paraId="7B4E4D5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（六）学术交流</w:t>
      </w:r>
    </w:p>
    <w:p w14:paraId="206DCF5A">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研究生参与国际国内学术交流的基本情况。包括本学位点组织学术交流情况；参加国内外重要学术会议情况；国内（际）学术交流资助等专项经费投入情况。专业学位研究生应包括参加创新实践训练和国内外科技竞赛的情况。】</w:t>
      </w:r>
    </w:p>
    <w:p w14:paraId="3072F80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（七）论文质量</w:t>
      </w:r>
    </w:p>
    <w:p w14:paraId="7EF92DB8">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【体现本学位点特点的学位论文规范（选题、开题、中期检查与预警）、评阅规则和核查办法的制定及执行情况。在各类论文抽检、评审中的情况和论文质量分析。】</w:t>
      </w:r>
    </w:p>
    <w:p w14:paraId="557405D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（八）质量保证</w:t>
      </w:r>
    </w:p>
    <w:p w14:paraId="5FC143D5">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培养全过程监控与质量保证（课程教学评价、研究生学术训练及成果质量评价、导师指导情况评价、研究生教育管理过程评价），加强学位论文和学位授予管理，强化指导教师质量管控责任，分流淘汰机制等情况。】</w:t>
      </w:r>
    </w:p>
    <w:p w14:paraId="08FED8B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（九）学风建设</w:t>
      </w:r>
    </w:p>
    <w:p w14:paraId="1129FC4D">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【本学位点科学道德和学术规范教育开展情况（报告会、课程或其他），预防学术不端行为的措施，学术不端行为处理情况。】</w:t>
      </w:r>
    </w:p>
    <w:p w14:paraId="556F4B6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（十）管理服务</w:t>
      </w:r>
    </w:p>
    <w:p w14:paraId="55A82043">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【研究生权益保障制度建立情况（包括学籍管理、奖助制度、</w:t>
      </w:r>
      <w:r>
        <w:rPr>
          <w:rFonts w:hint="eastAsia" w:ascii="仿宋" w:hAnsi="仿宋" w:eastAsia="仿宋" w:cs="仿宋"/>
          <w:sz w:val="32"/>
          <w:szCs w:val="32"/>
          <w:lang w:val="en-US" w:eastAsia="zh-CN"/>
        </w:rPr>
        <w:t>研究生</w:t>
      </w:r>
      <w:r>
        <w:rPr>
          <w:rFonts w:hint="eastAsia" w:ascii="仿宋" w:hAnsi="仿宋" w:eastAsia="仿宋" w:cs="仿宋"/>
          <w:sz w:val="32"/>
          <w:szCs w:val="32"/>
        </w:rPr>
        <w:t>活动、申诉及解决机制等），研究生心理健康、学习生活、就业创业等方面指导管理情况，在学研究生满意度调查情况等。】</w:t>
      </w:r>
    </w:p>
    <w:p w14:paraId="4A96808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（十一）就业发展</w:t>
      </w:r>
    </w:p>
    <w:p w14:paraId="349C88AA">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【毕业研究生就业率、就业去向分析，就业职业与培养目标的吻合度，用人单位意见反馈和毕业生发展质量调查情况。】</w:t>
      </w:r>
    </w:p>
    <w:p w14:paraId="05271F6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四、服务贡献</w:t>
      </w:r>
    </w:p>
    <w:p w14:paraId="51912B72">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科研成果转化、服务国家和地区经济发展、繁荣和发展社会主义文化、科教协同育人等方面的情况或典型案例。（如：产学研合作；参与行业标准规划制定，开展人才培训，服务行业事业发展；智库建设、服务国家政府决策和参政议政方面成效；举办重要会议论坛，制定学科与学术发展规划，服务国内外重要学术组织；开展科学普及、对口帮扶等公共服务等）；繁荣和发展社会主义文化。】</w:t>
      </w:r>
    </w:p>
    <w:p w14:paraId="39BF82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五、存在的问题</w:t>
      </w:r>
    </w:p>
    <w:p w14:paraId="73A0CB1B">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学位授予点</w:t>
      </w:r>
      <w:r>
        <w:rPr>
          <w:rFonts w:hint="eastAsia" w:ascii="仿宋" w:hAnsi="仿宋" w:eastAsia="仿宋" w:cs="仿宋"/>
          <w:sz w:val="32"/>
          <w:szCs w:val="32"/>
        </w:rPr>
        <w:t>存在问题及分析。对照《新增博士硕士学位授权审核申请基本条件</w:t>
      </w:r>
      <w:r>
        <w:rPr>
          <w:rFonts w:hint="default" w:ascii="Times New Roman" w:hAnsi="Times New Roman" w:eastAsia="仿宋" w:cs="Times New Roman"/>
          <w:sz w:val="32"/>
          <w:szCs w:val="32"/>
        </w:rPr>
        <w:t>2024</w:t>
      </w:r>
      <w:r>
        <w:rPr>
          <w:rFonts w:hint="eastAsia" w:ascii="仿宋" w:hAnsi="仿宋" w:eastAsia="仿宋" w:cs="仿宋"/>
          <w:sz w:val="32"/>
          <w:szCs w:val="32"/>
        </w:rPr>
        <w:t>》中的要求，排查本学位点存在差距和不足；对标《</w:t>
      </w:r>
      <w:r>
        <w:rPr>
          <w:rFonts w:hint="eastAsia" w:ascii="仿宋" w:hAnsi="仿宋" w:eastAsia="仿宋" w:cs="仿宋"/>
          <w:sz w:val="32"/>
          <w:szCs w:val="32"/>
          <w:lang w:eastAsia="zh-CN"/>
        </w:rPr>
        <w:t>学位授予点</w:t>
      </w:r>
      <w:r>
        <w:rPr>
          <w:rFonts w:hint="eastAsia" w:ascii="仿宋" w:hAnsi="仿宋" w:eastAsia="仿宋" w:cs="仿宋"/>
          <w:sz w:val="32"/>
          <w:szCs w:val="32"/>
        </w:rPr>
        <w:t>抽评要素》中的评价维度和内容要素，分析各要素建设完成情况及在后续工作中需要进一步加强建设的内容；上一年度整改的情况及存在的不足。</w:t>
      </w:r>
      <w:bookmarkStart w:id="0" w:name="_GoBack"/>
      <w:bookmarkEnd w:id="0"/>
      <w:r>
        <w:rPr>
          <w:rFonts w:hint="eastAsia" w:ascii="仿宋" w:hAnsi="仿宋" w:eastAsia="仿宋" w:cs="仿宋"/>
          <w:sz w:val="32"/>
          <w:szCs w:val="32"/>
        </w:rPr>
        <w:t>例如：在研究生分流淘汰、导师培训、立德树人等方面存在的问题和不足。】</w:t>
      </w:r>
    </w:p>
    <w:p w14:paraId="2E6336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六、下一年建设计划</w:t>
      </w:r>
    </w:p>
    <w:p w14:paraId="0670B22C">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【针对问题提出改进建议（改革方向）和下一步思路举措（工作重心）包括发展目标和保障措施。】</w:t>
      </w:r>
    </w:p>
    <w:p w14:paraId="1DE2228E">
      <w:pPr>
        <w:keepNext w:val="0"/>
        <w:keepLines w:val="0"/>
        <w:pageBreakBefore w:val="0"/>
        <w:widowControl w:val="0"/>
        <w:kinsoku/>
        <w:wordWrap/>
        <w:overflowPunct/>
        <w:topLinePunct w:val="0"/>
        <w:autoSpaceDE/>
        <w:autoSpaceDN/>
        <w:bidi w:val="0"/>
        <w:adjustRightInd w:val="0"/>
        <w:snapToGrid/>
        <w:spacing w:line="540" w:lineRule="exact"/>
        <w:ind w:left="0" w:leftChars="0" w:firstLine="640" w:firstLineChars="200"/>
        <w:textAlignment w:val="baseline"/>
        <w:rPr>
          <w:rFonts w:hint="eastAsia" w:ascii="仿宋" w:hAnsi="仿宋" w:eastAsia="仿宋" w:cs="仿宋"/>
          <w:sz w:val="32"/>
          <w:szCs w:val="32"/>
        </w:rPr>
      </w:pPr>
    </w:p>
    <w:p w14:paraId="6C647E6C">
      <w:pPr>
        <w:keepNext w:val="0"/>
        <w:keepLines w:val="0"/>
        <w:pageBreakBefore w:val="0"/>
        <w:widowControl w:val="0"/>
        <w:kinsoku/>
        <w:wordWrap/>
        <w:overflowPunct/>
        <w:topLinePunct w:val="0"/>
        <w:autoSpaceDE/>
        <w:autoSpaceDN/>
        <w:bidi w:val="0"/>
        <w:adjustRightInd w:val="0"/>
        <w:snapToGrid/>
        <w:spacing w:line="540" w:lineRule="exact"/>
        <w:ind w:left="0" w:leftChars="0" w:firstLine="420" w:firstLineChars="200"/>
        <w:textAlignment w:val="baseline"/>
        <w:rPr>
          <w:rFonts w:hint="eastAsia"/>
          <w:szCs w:val="22"/>
        </w:rPr>
      </w:pPr>
    </w:p>
    <w:p w14:paraId="55C7500B">
      <w:pPr>
        <w:spacing w:line="480" w:lineRule="auto"/>
        <w:ind w:firstLine="640" w:firstLineChars="200"/>
        <w:rPr>
          <w:rFonts w:hint="default" w:ascii="Times New Roman" w:hAnsi="Times New Roman" w:eastAsia="仿宋" w:cs="Times New Roman"/>
          <w:sz w:val="32"/>
          <w:szCs w:val="32"/>
        </w:rPr>
      </w:pPr>
    </w:p>
    <w:sectPr>
      <w:footerReference r:id="rId7" w:type="default"/>
      <w:pgSz w:w="11906" w:h="16838"/>
      <w:pgMar w:top="1553"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3AB61-5ED5-4C14-AF19-2E5379B304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3A309A-853D-4541-A11E-35B5F83BC7A3}"/>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embedRegular r:id="rId3" w:fontKey="{D94F7031-6C71-4838-B2E7-91E2C492559E}"/>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5AAB6CD5-91D1-49E7-9767-36BD201446FD}"/>
  </w:font>
  <w:font w:name="仿宋">
    <w:panose1 w:val="02010609060101010101"/>
    <w:charset w:val="86"/>
    <w:family w:val="auto"/>
    <w:pitch w:val="default"/>
    <w:sig w:usb0="800002BF" w:usb1="38CF7CFA" w:usb2="00000016" w:usb3="00000000" w:csb0="00040001" w:csb1="00000000"/>
    <w:embedRegular r:id="rId5" w:fontKey="{6B6C7CD0-47E3-4D31-95C2-5DCA5C2E9026}"/>
  </w:font>
  <w:font w:name="方正小标宋简体">
    <w:panose1 w:val="02010600010101010101"/>
    <w:charset w:val="86"/>
    <w:family w:val="script"/>
    <w:pitch w:val="default"/>
    <w:sig w:usb0="00000001" w:usb1="080E0000" w:usb2="00000000" w:usb3="00000000" w:csb0="00040000" w:csb1="00000000"/>
    <w:embedRegular r:id="rId6" w:fontKey="{E4D9DA37-2A2A-4901-B5C9-8082DF70C58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42B7">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675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022C">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25BB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225BB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64B5">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7E7F">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63EB8">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463EB8">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NTA4YjkyMjE2MTliYWE3YmVlY2ZlYjc0OTFjZWEifQ=="/>
  </w:docVars>
  <w:rsids>
    <w:rsidRoot w:val="00771618"/>
    <w:rsid w:val="00024BEF"/>
    <w:rsid w:val="00032480"/>
    <w:rsid w:val="00091B00"/>
    <w:rsid w:val="000B3609"/>
    <w:rsid w:val="000C553A"/>
    <w:rsid w:val="001A246F"/>
    <w:rsid w:val="00232A44"/>
    <w:rsid w:val="00270005"/>
    <w:rsid w:val="002F355A"/>
    <w:rsid w:val="0033212B"/>
    <w:rsid w:val="00376AAE"/>
    <w:rsid w:val="004B2344"/>
    <w:rsid w:val="004C3CBB"/>
    <w:rsid w:val="00564070"/>
    <w:rsid w:val="0058009A"/>
    <w:rsid w:val="005C6C3E"/>
    <w:rsid w:val="005E24A1"/>
    <w:rsid w:val="00640CD7"/>
    <w:rsid w:val="00652962"/>
    <w:rsid w:val="00697EC8"/>
    <w:rsid w:val="006E017D"/>
    <w:rsid w:val="00771618"/>
    <w:rsid w:val="007A0189"/>
    <w:rsid w:val="007A14E3"/>
    <w:rsid w:val="007C2944"/>
    <w:rsid w:val="007E4DB2"/>
    <w:rsid w:val="007E7222"/>
    <w:rsid w:val="008148CB"/>
    <w:rsid w:val="00814D07"/>
    <w:rsid w:val="00861105"/>
    <w:rsid w:val="008900AC"/>
    <w:rsid w:val="0096615D"/>
    <w:rsid w:val="00970076"/>
    <w:rsid w:val="00981F7F"/>
    <w:rsid w:val="009A4724"/>
    <w:rsid w:val="009F0F8F"/>
    <w:rsid w:val="00A02839"/>
    <w:rsid w:val="00A61B81"/>
    <w:rsid w:val="00B6396F"/>
    <w:rsid w:val="00B74945"/>
    <w:rsid w:val="00B83885"/>
    <w:rsid w:val="00BF3B55"/>
    <w:rsid w:val="00C10BD8"/>
    <w:rsid w:val="00C52082"/>
    <w:rsid w:val="00CA0901"/>
    <w:rsid w:val="00CA2EB3"/>
    <w:rsid w:val="00CA653E"/>
    <w:rsid w:val="00D27C30"/>
    <w:rsid w:val="00DD4433"/>
    <w:rsid w:val="00E167CE"/>
    <w:rsid w:val="00F11831"/>
    <w:rsid w:val="00F24D65"/>
    <w:rsid w:val="00F4667D"/>
    <w:rsid w:val="00F56050"/>
    <w:rsid w:val="025609B1"/>
    <w:rsid w:val="037D6900"/>
    <w:rsid w:val="0433224A"/>
    <w:rsid w:val="0C662486"/>
    <w:rsid w:val="0CBA3508"/>
    <w:rsid w:val="0DE409AE"/>
    <w:rsid w:val="0E224D9D"/>
    <w:rsid w:val="11617E91"/>
    <w:rsid w:val="12230C0B"/>
    <w:rsid w:val="15225CC8"/>
    <w:rsid w:val="15C63980"/>
    <w:rsid w:val="16B62F12"/>
    <w:rsid w:val="17BB1EE3"/>
    <w:rsid w:val="19D72E0C"/>
    <w:rsid w:val="1BBD7954"/>
    <w:rsid w:val="1C485D0F"/>
    <w:rsid w:val="1C9D6C20"/>
    <w:rsid w:val="1D50131F"/>
    <w:rsid w:val="1E110E9B"/>
    <w:rsid w:val="22EF7C72"/>
    <w:rsid w:val="23386B87"/>
    <w:rsid w:val="25AF5CF3"/>
    <w:rsid w:val="265A320F"/>
    <w:rsid w:val="299627B0"/>
    <w:rsid w:val="2A243109"/>
    <w:rsid w:val="2ED47567"/>
    <w:rsid w:val="331B0050"/>
    <w:rsid w:val="348C6399"/>
    <w:rsid w:val="35F55679"/>
    <w:rsid w:val="385B52F0"/>
    <w:rsid w:val="3AFE01B5"/>
    <w:rsid w:val="3E682515"/>
    <w:rsid w:val="3F5961AE"/>
    <w:rsid w:val="436022DB"/>
    <w:rsid w:val="47D05122"/>
    <w:rsid w:val="4AAF6DD6"/>
    <w:rsid w:val="4E6211B5"/>
    <w:rsid w:val="50AC08F9"/>
    <w:rsid w:val="53D31D87"/>
    <w:rsid w:val="5E8720EC"/>
    <w:rsid w:val="60734080"/>
    <w:rsid w:val="65A9737F"/>
    <w:rsid w:val="66812F3A"/>
    <w:rsid w:val="69FE1D4C"/>
    <w:rsid w:val="719E4475"/>
    <w:rsid w:val="71DD5031"/>
    <w:rsid w:val="71E46577"/>
    <w:rsid w:val="73F1041A"/>
    <w:rsid w:val="74805AC4"/>
    <w:rsid w:val="77031668"/>
    <w:rsid w:val="78755459"/>
    <w:rsid w:val="7A382656"/>
    <w:rsid w:val="7E9E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Calibri" w:hAnsi="Calibri"/>
      <w:sz w:val="20"/>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6"/>
    <w:autoRedefine/>
    <w:qFormat/>
    <w:uiPriority w:val="99"/>
    <w:rPr>
      <w:sz w:val="18"/>
      <w:szCs w:val="18"/>
    </w:rPr>
  </w:style>
  <w:style w:type="character" w:customStyle="1" w:styleId="11">
    <w:name w:val="页脚 字符"/>
    <w:basedOn w:val="8"/>
    <w:link w:val="5"/>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4"/>
    <w:autoRedefine/>
    <w:semiHidden/>
    <w:qFormat/>
    <w:uiPriority w:val="99"/>
    <w:rPr>
      <w:sz w:val="18"/>
      <w:szCs w:val="18"/>
    </w:rPr>
  </w:style>
  <w:style w:type="character" w:customStyle="1" w:styleId="14">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5">
    <w:name w:val="封面文本"/>
    <w:basedOn w:val="1"/>
    <w:qFormat/>
    <w:uiPriority w:val="0"/>
    <w:pPr>
      <w:spacing w:line="360" w:lineRule="auto"/>
      <w:ind w:firstLine="0" w:firstLineChars="0"/>
    </w:pPr>
    <w:rPr>
      <w:rFonts w:eastAsia="楷体_GB2312"/>
      <w:b/>
      <w:sz w:val="30"/>
      <w:szCs w:val="30"/>
    </w:rPr>
  </w:style>
  <w:style w:type="paragraph" w:customStyle="1" w:styleId="16">
    <w:name w:val="编写说明"/>
    <w:basedOn w:val="1"/>
    <w:qFormat/>
    <w:uiPriority w:val="0"/>
    <w:pPr>
      <w:spacing w:line="400" w:lineRule="exact"/>
      <w:ind w:firstLine="480" w:firstLineChars="20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61696320-62f5-4d58-ac87-8fdad1df11a8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6ECD09E2</paraID>
      <start>60</start>
      <end>61</end>
      <status>modified</status>
      <modifiedWord>—</modifiedWord>
      <trackRevisions>false</trackRevisions>
    </reviewItem>
    <reviewItem>
      <errorID>361fd765-f05f-43f4-8841-125d6d62eb68</errorID>
      <errorWord>。】</errorWord>
      <group>L1_Punc</group>
      <groupName>标点问题</groupName>
      <ability>L2_Punc</ability>
      <abilityName>标点符号检查</abilityName>
      <candidateList>
        <item>】</item>
      </candidateList>
      <explain/>
      <paraID>3F9D5E5B</paraID>
      <start>116</start>
      <end>117</end>
      <status>modified</status>
      <modifiedWord>】</modifiedWord>
      <trackRevisions>false</trackRevisions>
    </reviewItem>
    <reviewItem>
      <errorID>d81d4ecb-bd98-480c-8a5b-662b0c341e82</errorID>
      <errorWord>。】</errorWord>
      <group>L1_Punc</group>
      <groupName>标点问题</groupName>
      <ability>L2_Punc</ability>
      <abilityName>标点符号检查</abilityName>
      <candidateList>
        <item>】</item>
      </candidateList>
      <explain/>
      <paraID>4C1D73E5</paraID>
      <start>24</start>
      <end>25</end>
      <status>modified</status>
      <modifiedWord>】</modifiedWord>
      <trackRevisions>false</trackRevisions>
    </reviewItem>
    <reviewItem>
      <errorID>737c3235-5514-4141-9cee-d6c69c8a9673</errorID>
      <errorWord>。】</errorWord>
      <group>L1_Punc</group>
      <groupName>标点问题</groupName>
      <ability>L2_Punc</ability>
      <abilityName>标点符号检查</abilityName>
      <candidateList>
        <item>】</item>
      </candidateList>
      <explain/>
      <paraID>2866D36D</paraID>
      <start>35</start>
      <end>36</end>
      <status>modified</status>
      <modifiedWord>】</modifiedWord>
      <trackRevisions>false</trackRevisions>
    </reviewItem>
    <reviewItem>
      <errorID>7a940733-966d-4619-bb33-93d10da4ed8a</errorID>
      <errorWord>经过经过</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3121709B</paraID>
      <start>4</start>
      <end>6</end>
      <status>modified</status>
      <modifiedWord>经过</modifiedWord>
      <trackRevisions>false</trackRevisions>
    </reviewItem>
    <reviewItem>
      <errorID>1328d2cf-3b59-4a68-976a-865e08d2cbde</errorID>
      <errorWord>,</errorWord>
      <group>L1_Format</group>
      <groupName>格式问题</groupName>
      <ability>L2_HalfPunc</ability>
      <abilityName>全半角检查</abilityName>
      <candidateList>
        <item>，</item>
      </candidateList>
      <explain>文本全半角错误。</explain>
      <paraID>4A28DE7D</paraID>
      <start>23</start>
      <end>24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1c82b-da2a-40c8-ad72-9f282060d8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2624</Words>
  <Characters>2718</Characters>
  <Lines>5</Lines>
  <Paragraphs>1</Paragraphs>
  <TotalTime>1</TotalTime>
  <ScaleCrop>false</ScaleCrop>
  <LinksUpToDate>false</LinksUpToDate>
  <CharactersWithSpaces>2735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2021-10-18T03:23:00Z</dcterms:created>
  <dc:creator>微软用户</dc:creator>
  <cp:lastModifiedBy>姜骞</cp:lastModifiedBy>
  <cp:lastPrinted>2025-12-15T07:27:00Z</cp:lastPrinted>
  <dcterms:modified xsi:type="dcterms:W3CDTF">2026-04-28T07:14:28Z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ACE00129C1A542758C0C9BEC9D0A51A8_13</vt:lpwstr>
  </property>
  <property fmtid="{D5CDD505-2E9C-101B-9397-08002B2CF9AE}" pid="4" name="KSOTemplateDocerSaveRecord">
    <vt:lpwstr>eyJoZGlkIjoiZDZlYjQ5ZDVmYmRjOTJkOGU0MDI0NmI0NWY4ZmI0ODEiLCJ1c2VySWQiOiIzMTA0NDkyNjcifQ==</vt:lpwstr>
  </property>
</Properties>
</file>